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536C5" w14:textId="77777777" w:rsidR="00FA34FC" w:rsidRDefault="00FA34FC" w:rsidP="000F683D">
      <w:pPr>
        <w:jc w:val="center"/>
        <w:rPr>
          <w:color w:val="8A0000"/>
          <w:sz w:val="44"/>
          <w:szCs w:val="48"/>
        </w:rPr>
      </w:pPr>
    </w:p>
    <w:p w14:paraId="568A4148" w14:textId="11F9844D" w:rsidR="000F683D" w:rsidRPr="00571A28" w:rsidRDefault="000F683D" w:rsidP="000F683D">
      <w:pPr>
        <w:jc w:val="center"/>
        <w:rPr>
          <w:color w:val="8A0000"/>
          <w:sz w:val="44"/>
          <w:szCs w:val="48"/>
        </w:rPr>
      </w:pPr>
      <w:proofErr w:type="gramStart"/>
      <w:r w:rsidRPr="00571A28">
        <w:rPr>
          <w:color w:val="8A0000"/>
          <w:sz w:val="44"/>
          <w:szCs w:val="48"/>
        </w:rPr>
        <w:t>4</w:t>
      </w:r>
      <w:r w:rsidRPr="00571A28">
        <w:rPr>
          <w:color w:val="8A0000"/>
          <w:sz w:val="44"/>
          <w:szCs w:val="48"/>
          <w:vertAlign w:val="superscript"/>
        </w:rPr>
        <w:t>th</w:t>
      </w:r>
      <w:proofErr w:type="gramEnd"/>
      <w:r w:rsidRPr="00571A28">
        <w:rPr>
          <w:color w:val="8A0000"/>
          <w:sz w:val="44"/>
          <w:szCs w:val="48"/>
        </w:rPr>
        <w:t xml:space="preserve"> International Conference on Non Tsetse Transmitted Animal Trypanosomosis</w:t>
      </w:r>
    </w:p>
    <w:p w14:paraId="78391BC5" w14:textId="77777777" w:rsidR="000F683D" w:rsidRPr="00571A28" w:rsidRDefault="000F683D" w:rsidP="000F683D">
      <w:pPr>
        <w:jc w:val="center"/>
        <w:rPr>
          <w:color w:val="8A0000"/>
          <w:sz w:val="44"/>
          <w:szCs w:val="48"/>
        </w:rPr>
      </w:pPr>
      <w:r w:rsidRPr="00571A28">
        <w:rPr>
          <w:color w:val="8A0000"/>
          <w:sz w:val="44"/>
          <w:szCs w:val="48"/>
        </w:rPr>
        <w:t>Abstract</w:t>
      </w:r>
    </w:p>
    <w:p w14:paraId="41EB51EC" w14:textId="77777777" w:rsidR="000F683D" w:rsidRPr="00571A28" w:rsidRDefault="000F683D" w:rsidP="000F683D">
      <w:pPr>
        <w:jc w:val="center"/>
        <w:rPr>
          <w:color w:val="8A0000"/>
          <w:sz w:val="28"/>
        </w:rPr>
      </w:pPr>
    </w:p>
    <w:p w14:paraId="1B1C1EB7" w14:textId="7B41737D" w:rsidR="000F683D" w:rsidRDefault="000F683D" w:rsidP="000F683D">
      <w:pPr>
        <w:spacing w:after="120"/>
        <w:rPr>
          <w:sz w:val="28"/>
          <w:szCs w:val="28"/>
        </w:rPr>
      </w:pPr>
      <w:r w:rsidRPr="00FA34FC">
        <w:rPr>
          <w:b/>
          <w:sz w:val="28"/>
          <w:szCs w:val="28"/>
        </w:rPr>
        <w:t>Title</w:t>
      </w:r>
      <w:r>
        <w:rPr>
          <w:sz w:val="28"/>
          <w:szCs w:val="28"/>
        </w:rPr>
        <w:t xml:space="preserve"> (maximum 30 words)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83D" w14:paraId="27A801A5" w14:textId="77777777" w:rsidTr="00004529">
        <w:tc>
          <w:tcPr>
            <w:tcW w:w="9242" w:type="dxa"/>
          </w:tcPr>
          <w:p w14:paraId="5A591C85" w14:textId="04FD2E67" w:rsidR="000F683D" w:rsidRPr="00E440F0" w:rsidRDefault="000865D5" w:rsidP="00FA34FC">
            <w:pPr>
              <w:jc w:val="both"/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High </w:t>
            </w:r>
            <w:proofErr w:type="spellStart"/>
            <w:r w:rsidRPr="00E440F0">
              <w:rPr>
                <w:sz w:val="26"/>
                <w:szCs w:val="26"/>
              </w:rPr>
              <w:t>sero-prevalance</w:t>
            </w:r>
            <w:proofErr w:type="spellEnd"/>
            <w:r w:rsidRPr="00E440F0">
              <w:rPr>
                <w:sz w:val="26"/>
                <w:szCs w:val="26"/>
              </w:rPr>
              <w:t xml:space="preserve"> of equine </w:t>
            </w:r>
            <w:proofErr w:type="spellStart"/>
            <w:r w:rsidRPr="00E440F0">
              <w:rPr>
                <w:sz w:val="26"/>
                <w:szCs w:val="26"/>
              </w:rPr>
              <w:t>trypanosomosis</w:t>
            </w:r>
            <w:proofErr w:type="spellEnd"/>
            <w:r w:rsidRPr="00E440F0">
              <w:rPr>
                <w:sz w:val="26"/>
                <w:szCs w:val="26"/>
              </w:rPr>
              <w:t xml:space="preserve">, </w:t>
            </w:r>
            <w:r w:rsidR="00733A5A" w:rsidRPr="00E440F0">
              <w:rPr>
                <w:sz w:val="26"/>
                <w:szCs w:val="26"/>
              </w:rPr>
              <w:t xml:space="preserve">equine </w:t>
            </w:r>
            <w:proofErr w:type="spellStart"/>
            <w:r w:rsidR="00733A5A" w:rsidRPr="00E440F0">
              <w:rPr>
                <w:sz w:val="26"/>
                <w:szCs w:val="26"/>
              </w:rPr>
              <w:t>piroplasmosis</w:t>
            </w:r>
            <w:proofErr w:type="spellEnd"/>
            <w:r w:rsidR="00733A5A">
              <w:rPr>
                <w:sz w:val="26"/>
                <w:szCs w:val="26"/>
              </w:rPr>
              <w:t>,</w:t>
            </w:r>
            <w:r w:rsidR="00733A5A" w:rsidRPr="00E440F0">
              <w:rPr>
                <w:sz w:val="26"/>
                <w:szCs w:val="26"/>
              </w:rPr>
              <w:t xml:space="preserve"> </w:t>
            </w:r>
            <w:r w:rsidRPr="00E440F0">
              <w:rPr>
                <w:sz w:val="26"/>
                <w:szCs w:val="26"/>
              </w:rPr>
              <w:t xml:space="preserve">equine infectious </w:t>
            </w:r>
            <w:proofErr w:type="spellStart"/>
            <w:r w:rsidRPr="00E440F0">
              <w:rPr>
                <w:sz w:val="26"/>
                <w:szCs w:val="26"/>
              </w:rPr>
              <w:t>anemia</w:t>
            </w:r>
            <w:proofErr w:type="spellEnd"/>
            <w:r w:rsidRPr="00E440F0">
              <w:rPr>
                <w:sz w:val="26"/>
                <w:szCs w:val="26"/>
              </w:rPr>
              <w:t xml:space="preserve"> </w:t>
            </w:r>
            <w:r w:rsidR="00733A5A">
              <w:rPr>
                <w:sz w:val="26"/>
                <w:szCs w:val="26"/>
              </w:rPr>
              <w:t xml:space="preserve">virus and west Nile virus </w:t>
            </w:r>
            <w:r w:rsidRPr="00E440F0">
              <w:rPr>
                <w:sz w:val="26"/>
                <w:szCs w:val="26"/>
              </w:rPr>
              <w:t>in a herd of semi-wild horses from North Argentina.</w:t>
            </w:r>
          </w:p>
        </w:tc>
      </w:tr>
    </w:tbl>
    <w:p w14:paraId="7353DCEC" w14:textId="77777777" w:rsidR="000F683D" w:rsidRDefault="000F683D" w:rsidP="000F683D">
      <w:pPr>
        <w:rPr>
          <w:sz w:val="28"/>
          <w:szCs w:val="28"/>
        </w:rPr>
      </w:pPr>
    </w:p>
    <w:p w14:paraId="734F3C99" w14:textId="77777777" w:rsidR="000F683D" w:rsidRDefault="000F683D" w:rsidP="000F683D">
      <w:pPr>
        <w:spacing w:after="120"/>
        <w:rPr>
          <w:sz w:val="28"/>
          <w:szCs w:val="28"/>
        </w:rPr>
      </w:pPr>
      <w:r w:rsidRPr="00FA34FC">
        <w:rPr>
          <w:b/>
          <w:sz w:val="28"/>
          <w:szCs w:val="28"/>
        </w:rPr>
        <w:t>Authors</w:t>
      </w:r>
      <w:r>
        <w:rPr>
          <w:sz w:val="28"/>
          <w:szCs w:val="28"/>
        </w:rPr>
        <w:t xml:space="preserve"> (underline surnames)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83D" w14:paraId="5C86B2F5" w14:textId="77777777" w:rsidTr="00004529">
        <w:tc>
          <w:tcPr>
            <w:tcW w:w="9242" w:type="dxa"/>
          </w:tcPr>
          <w:p w14:paraId="15C909B9" w14:textId="0D13EAEA" w:rsidR="000F683D" w:rsidRPr="00733A5A" w:rsidRDefault="00A419B3" w:rsidP="00FA34FC">
            <w:pPr>
              <w:jc w:val="both"/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Laurent </w:t>
            </w:r>
            <w:r w:rsidRPr="00E440F0">
              <w:rPr>
                <w:sz w:val="26"/>
                <w:szCs w:val="26"/>
                <w:u w:val="single"/>
              </w:rPr>
              <w:t>Hébert</w:t>
            </w:r>
            <w:r w:rsidRPr="00E440F0">
              <w:rPr>
                <w:sz w:val="26"/>
                <w:szCs w:val="26"/>
                <w:vertAlign w:val="superscript"/>
              </w:rPr>
              <w:t>1</w:t>
            </w:r>
            <w:r w:rsidRPr="00E440F0">
              <w:rPr>
                <w:sz w:val="26"/>
                <w:szCs w:val="26"/>
              </w:rPr>
              <w:t xml:space="preserve">, Gonzalo </w:t>
            </w:r>
            <w:r w:rsidRPr="00E440F0">
              <w:rPr>
                <w:sz w:val="26"/>
                <w:szCs w:val="26"/>
                <w:u w:val="single"/>
              </w:rPr>
              <w:t>Polledo</w:t>
            </w:r>
            <w:r w:rsidRPr="00E440F0">
              <w:rPr>
                <w:sz w:val="26"/>
                <w:szCs w:val="26"/>
                <w:vertAlign w:val="superscript"/>
              </w:rPr>
              <w:t>2</w:t>
            </w:r>
            <w:r w:rsidRPr="00E440F0">
              <w:rPr>
                <w:sz w:val="26"/>
                <w:szCs w:val="26"/>
              </w:rPr>
              <w:t xml:space="preserve">, Fanny. </w:t>
            </w:r>
            <w:r w:rsidRPr="00E440F0">
              <w:rPr>
                <w:sz w:val="26"/>
                <w:szCs w:val="26"/>
                <w:u w:val="single"/>
              </w:rPr>
              <w:t>Lecouturier</w:t>
            </w:r>
            <w:r w:rsidRPr="00E440F0">
              <w:rPr>
                <w:sz w:val="26"/>
                <w:szCs w:val="26"/>
                <w:vertAlign w:val="superscript"/>
              </w:rPr>
              <w:t>1</w:t>
            </w:r>
            <w:r w:rsidRPr="00E440F0">
              <w:rPr>
                <w:sz w:val="26"/>
                <w:szCs w:val="26"/>
              </w:rPr>
              <w:t xml:space="preserve">, Mariana </w:t>
            </w:r>
            <w:r w:rsidRPr="00E440F0">
              <w:rPr>
                <w:sz w:val="26"/>
                <w:szCs w:val="26"/>
                <w:u w:val="single"/>
              </w:rPr>
              <w:t>Giorgi</w:t>
            </w:r>
            <w:r w:rsidRPr="00E440F0">
              <w:rPr>
                <w:sz w:val="26"/>
                <w:szCs w:val="26"/>
                <w:vertAlign w:val="superscript"/>
              </w:rPr>
              <w:t>2</w:t>
            </w:r>
            <w:r w:rsidRPr="00E440F0">
              <w:rPr>
                <w:sz w:val="26"/>
                <w:szCs w:val="26"/>
              </w:rPr>
              <w:t xml:space="preserve">, Anthony </w:t>
            </w:r>
            <w:r w:rsidRPr="00E440F0">
              <w:rPr>
                <w:sz w:val="26"/>
                <w:szCs w:val="26"/>
                <w:u w:val="single"/>
              </w:rPr>
              <w:t>Madeline</w:t>
            </w:r>
            <w:r w:rsidRPr="00E440F0">
              <w:rPr>
                <w:sz w:val="26"/>
                <w:szCs w:val="26"/>
                <w:vertAlign w:val="superscript"/>
              </w:rPr>
              <w:t>1</w:t>
            </w:r>
            <w:r w:rsidRPr="00E440F0">
              <w:rPr>
                <w:sz w:val="26"/>
                <w:szCs w:val="26"/>
              </w:rPr>
              <w:t xml:space="preserve">, Cécile </w:t>
            </w:r>
            <w:r w:rsidRPr="00E440F0">
              <w:rPr>
                <w:sz w:val="26"/>
                <w:szCs w:val="26"/>
                <w:u w:val="single"/>
              </w:rPr>
              <w:t>Beck</w:t>
            </w:r>
            <w:r w:rsidRPr="00E440F0">
              <w:rPr>
                <w:sz w:val="26"/>
                <w:szCs w:val="26"/>
                <w:vertAlign w:val="superscript"/>
              </w:rPr>
              <w:t>3</w:t>
            </w:r>
            <w:r w:rsidRPr="00E440F0">
              <w:rPr>
                <w:sz w:val="26"/>
                <w:szCs w:val="26"/>
              </w:rPr>
              <w:t xml:space="preserve">, Karine </w:t>
            </w:r>
            <w:r w:rsidRPr="00E440F0">
              <w:rPr>
                <w:sz w:val="26"/>
                <w:szCs w:val="26"/>
                <w:u w:val="single"/>
              </w:rPr>
              <w:t>Laroucau</w:t>
            </w:r>
            <w:r w:rsidRPr="00E440F0">
              <w:rPr>
                <w:sz w:val="26"/>
                <w:szCs w:val="26"/>
                <w:vertAlign w:val="superscript"/>
              </w:rPr>
              <w:t>4</w:t>
            </w:r>
            <w:r w:rsidRPr="00E440F0">
              <w:rPr>
                <w:sz w:val="26"/>
                <w:szCs w:val="26"/>
              </w:rPr>
              <w:t xml:space="preserve">, Philippe </w:t>
            </w:r>
            <w:r w:rsidRPr="00E440F0">
              <w:rPr>
                <w:sz w:val="26"/>
                <w:szCs w:val="26"/>
                <w:u w:val="single"/>
              </w:rPr>
              <w:t>Büscher</w:t>
            </w:r>
            <w:r w:rsidRPr="00E440F0">
              <w:rPr>
                <w:sz w:val="26"/>
                <w:szCs w:val="26"/>
                <w:vertAlign w:val="superscript"/>
              </w:rPr>
              <w:t>5</w:t>
            </w:r>
            <w:r w:rsidRPr="00E440F0">
              <w:rPr>
                <w:sz w:val="26"/>
                <w:szCs w:val="26"/>
              </w:rPr>
              <w:t xml:space="preserve">, Aymeric </w:t>
            </w:r>
            <w:r w:rsidRPr="00E440F0">
              <w:rPr>
                <w:sz w:val="26"/>
                <w:szCs w:val="26"/>
                <w:u w:val="single"/>
              </w:rPr>
              <w:t>Hans</w:t>
            </w:r>
            <w:r w:rsidRPr="00E440F0">
              <w:rPr>
                <w:sz w:val="26"/>
                <w:szCs w:val="26"/>
                <w:vertAlign w:val="superscript"/>
              </w:rPr>
              <w:t>1</w:t>
            </w:r>
            <w:r w:rsidRPr="00E440F0">
              <w:rPr>
                <w:sz w:val="26"/>
                <w:szCs w:val="26"/>
              </w:rPr>
              <w:t xml:space="preserve">, </w:t>
            </w:r>
            <w:proofErr w:type="spellStart"/>
            <w:r w:rsidRPr="00E440F0">
              <w:rPr>
                <w:sz w:val="26"/>
                <w:szCs w:val="26"/>
              </w:rPr>
              <w:t>Teótimo</w:t>
            </w:r>
            <w:proofErr w:type="spellEnd"/>
            <w:r w:rsidRPr="00E440F0">
              <w:rPr>
                <w:sz w:val="26"/>
                <w:szCs w:val="26"/>
              </w:rPr>
              <w:t xml:space="preserve"> </w:t>
            </w:r>
            <w:r w:rsidRPr="00E440F0">
              <w:rPr>
                <w:sz w:val="26"/>
                <w:szCs w:val="26"/>
                <w:u w:val="single"/>
              </w:rPr>
              <w:t>Becù</w:t>
            </w:r>
            <w:r w:rsidRPr="00E440F0">
              <w:rPr>
                <w:sz w:val="26"/>
                <w:szCs w:val="26"/>
                <w:vertAlign w:val="superscript"/>
              </w:rPr>
              <w:t>2</w:t>
            </w:r>
            <w:r w:rsidR="00733A5A">
              <w:rPr>
                <w:sz w:val="26"/>
                <w:szCs w:val="26"/>
              </w:rPr>
              <w:t>.</w:t>
            </w:r>
          </w:p>
        </w:tc>
      </w:tr>
    </w:tbl>
    <w:p w14:paraId="368C360C" w14:textId="77777777" w:rsidR="000F683D" w:rsidRDefault="000F683D" w:rsidP="000F683D">
      <w:pPr>
        <w:rPr>
          <w:sz w:val="28"/>
          <w:szCs w:val="28"/>
        </w:rPr>
      </w:pPr>
    </w:p>
    <w:p w14:paraId="3C024A6B" w14:textId="77777777" w:rsidR="000F683D" w:rsidRPr="00FA34FC" w:rsidRDefault="000F683D" w:rsidP="000F683D">
      <w:pPr>
        <w:spacing w:after="120"/>
        <w:rPr>
          <w:b/>
          <w:sz w:val="28"/>
          <w:szCs w:val="28"/>
        </w:rPr>
      </w:pPr>
      <w:r w:rsidRPr="00FA34FC">
        <w:rPr>
          <w:b/>
          <w:sz w:val="28"/>
          <w:szCs w:val="28"/>
        </w:rPr>
        <w:t>Author affiliations and email addresses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83D" w14:paraId="7347696C" w14:textId="77777777" w:rsidTr="00004529">
        <w:tc>
          <w:tcPr>
            <w:tcW w:w="9242" w:type="dxa"/>
          </w:tcPr>
          <w:p w14:paraId="119360EF" w14:textId="5FDF1ACC" w:rsidR="00E440F0" w:rsidRPr="00E440F0" w:rsidRDefault="00E440F0" w:rsidP="00E440F0">
            <w:pPr>
              <w:jc w:val="both"/>
              <w:rPr>
                <w:rFonts w:cstheme="minorHAnsi"/>
                <w:sz w:val="26"/>
                <w:szCs w:val="26"/>
              </w:rPr>
            </w:pPr>
            <w:r w:rsidRPr="00E440F0">
              <w:rPr>
                <w:rFonts w:cstheme="minorHAnsi"/>
                <w:sz w:val="26"/>
                <w:szCs w:val="26"/>
                <w:vertAlign w:val="superscript"/>
              </w:rPr>
              <w:t>1</w:t>
            </w:r>
            <w:r w:rsidRPr="00761BE6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PhEED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 xml:space="preserve"> unit, Laboratory for Animal Health, Normandy site, ANSES, RD675, </w:t>
            </w:r>
            <w:proofErr w:type="spellStart"/>
            <w:proofErr w:type="gramStart"/>
            <w:r w:rsidRPr="00E440F0">
              <w:rPr>
                <w:rFonts w:cstheme="minorHAnsi"/>
                <w:sz w:val="26"/>
                <w:szCs w:val="26"/>
              </w:rPr>
              <w:t>Goustranville</w:t>
            </w:r>
            <w:proofErr w:type="spellEnd"/>
            <w:proofErr w:type="gramEnd"/>
            <w:r w:rsidRPr="00E440F0">
              <w:rPr>
                <w:rFonts w:cstheme="minorHAnsi"/>
                <w:sz w:val="26"/>
                <w:szCs w:val="26"/>
              </w:rPr>
              <w:t>, France</w:t>
            </w:r>
            <w:r w:rsidR="00733A5A">
              <w:rPr>
                <w:rFonts w:cstheme="minorHAnsi"/>
                <w:sz w:val="26"/>
                <w:szCs w:val="26"/>
              </w:rPr>
              <w:t>.</w:t>
            </w:r>
          </w:p>
          <w:p w14:paraId="635DD495" w14:textId="7FE9E8DA" w:rsidR="00E440F0" w:rsidRPr="00E440F0" w:rsidRDefault="00E440F0" w:rsidP="00E440F0">
            <w:pPr>
              <w:jc w:val="both"/>
              <w:rPr>
                <w:rFonts w:cstheme="minorHAnsi"/>
                <w:sz w:val="26"/>
                <w:szCs w:val="26"/>
              </w:rPr>
            </w:pPr>
            <w:r w:rsidRPr="00E440F0">
              <w:rPr>
                <w:rFonts w:cstheme="minorHAnsi"/>
                <w:sz w:val="26"/>
                <w:szCs w:val="26"/>
                <w:vertAlign w:val="superscript"/>
              </w:rPr>
              <w:t>2</w:t>
            </w:r>
            <w:r w:rsidRPr="00E440F0">
              <w:rPr>
                <w:rFonts w:cstheme="minorHAnsi"/>
                <w:sz w:val="26"/>
                <w:szCs w:val="26"/>
              </w:rPr>
              <w:t xml:space="preserve">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Laboratorio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 xml:space="preserve"> de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Diagnóstico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 xml:space="preserve">, Clinica Equina SRL,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Alem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 xml:space="preserve"> 1698 - Capitan Sarmiento, Buenos Aires, Argentina</w:t>
            </w:r>
            <w:r w:rsidR="00733A5A">
              <w:rPr>
                <w:rFonts w:cstheme="minorHAnsi"/>
                <w:sz w:val="26"/>
                <w:szCs w:val="26"/>
              </w:rPr>
              <w:t>.</w:t>
            </w:r>
          </w:p>
          <w:p w14:paraId="3165836B" w14:textId="5A4A8BF9" w:rsidR="00E440F0" w:rsidRPr="00761BE6" w:rsidRDefault="00E440F0" w:rsidP="00E440F0">
            <w:pPr>
              <w:jc w:val="both"/>
              <w:rPr>
                <w:rFonts w:cstheme="minorHAnsi"/>
                <w:sz w:val="26"/>
                <w:szCs w:val="26"/>
                <w:lang w:val="fr-FR"/>
              </w:rPr>
            </w:pPr>
            <w:r w:rsidRPr="00761BE6">
              <w:rPr>
                <w:rFonts w:cstheme="minorHAnsi"/>
                <w:sz w:val="26"/>
                <w:szCs w:val="26"/>
                <w:vertAlign w:val="superscript"/>
                <w:lang w:val="fr-FR"/>
              </w:rPr>
              <w:t>3</w:t>
            </w:r>
            <w:r w:rsidRPr="00761BE6">
              <w:rPr>
                <w:rFonts w:cstheme="minorHAnsi"/>
                <w:sz w:val="26"/>
                <w:szCs w:val="26"/>
                <w:lang w:val="fr-FR"/>
              </w:rPr>
              <w:t xml:space="preserve"> UMR 1161 Virologie, Animal </w:t>
            </w:r>
            <w:proofErr w:type="spellStart"/>
            <w:r w:rsidRPr="00761BE6">
              <w:rPr>
                <w:rFonts w:cstheme="minorHAnsi"/>
                <w:sz w:val="26"/>
                <w:szCs w:val="26"/>
                <w:lang w:val="fr-FR"/>
              </w:rPr>
              <w:t>Health</w:t>
            </w:r>
            <w:proofErr w:type="spellEnd"/>
            <w:r w:rsidRPr="00761BE6">
              <w:rPr>
                <w:rFonts w:cstheme="minorHAnsi"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61BE6">
              <w:rPr>
                <w:rFonts w:cstheme="minorHAnsi"/>
                <w:sz w:val="26"/>
                <w:szCs w:val="26"/>
                <w:lang w:val="fr-FR"/>
              </w:rPr>
              <w:t>Laboratory</w:t>
            </w:r>
            <w:proofErr w:type="spellEnd"/>
            <w:r w:rsidRPr="00761BE6">
              <w:rPr>
                <w:rFonts w:cstheme="minorHAnsi"/>
                <w:sz w:val="26"/>
                <w:szCs w:val="26"/>
                <w:lang w:val="fr-FR"/>
              </w:rPr>
              <w:t xml:space="preserve">, </w:t>
            </w:r>
            <w:r w:rsidR="00761BE6" w:rsidRPr="00761BE6">
              <w:rPr>
                <w:rFonts w:cstheme="minorHAnsi"/>
                <w:sz w:val="26"/>
                <w:szCs w:val="26"/>
                <w:lang w:val="fr-FR"/>
              </w:rPr>
              <w:t xml:space="preserve">Maisons-Alfort site, </w:t>
            </w:r>
            <w:r w:rsidRPr="00761BE6">
              <w:rPr>
                <w:rFonts w:cstheme="minorHAnsi"/>
                <w:sz w:val="26"/>
                <w:szCs w:val="26"/>
                <w:lang w:val="fr-FR"/>
              </w:rPr>
              <w:t>ANSES, INRA, Université Paris-Est, Maisons-Alfort, France</w:t>
            </w:r>
            <w:r w:rsidR="00733A5A" w:rsidRPr="00761BE6">
              <w:rPr>
                <w:rFonts w:cstheme="minorHAnsi"/>
                <w:sz w:val="26"/>
                <w:szCs w:val="26"/>
                <w:lang w:val="fr-FR"/>
              </w:rPr>
              <w:t>.</w:t>
            </w:r>
          </w:p>
          <w:p w14:paraId="7C219DFA" w14:textId="07B20DFB" w:rsidR="00E440F0" w:rsidRPr="00E440F0" w:rsidRDefault="00E440F0" w:rsidP="00E440F0">
            <w:pPr>
              <w:jc w:val="both"/>
              <w:rPr>
                <w:rFonts w:cstheme="minorHAnsi"/>
                <w:sz w:val="26"/>
                <w:szCs w:val="26"/>
              </w:rPr>
            </w:pPr>
            <w:r w:rsidRPr="00E440F0">
              <w:rPr>
                <w:rFonts w:cstheme="minorHAnsi"/>
                <w:sz w:val="26"/>
                <w:szCs w:val="26"/>
                <w:vertAlign w:val="superscript"/>
              </w:rPr>
              <w:t>4</w:t>
            </w:r>
            <w:r w:rsidRPr="00E440F0">
              <w:rPr>
                <w:rFonts w:cstheme="minorHAnsi"/>
                <w:sz w:val="26"/>
                <w:szCs w:val="26"/>
              </w:rPr>
              <w:t xml:space="preserve"> Bacterial Zoonosis Unit, Animal Health Laboratory</w:t>
            </w:r>
            <w:r w:rsidR="00761BE6">
              <w:rPr>
                <w:rFonts w:cstheme="minorHAnsi"/>
                <w:sz w:val="26"/>
                <w:szCs w:val="26"/>
              </w:rPr>
              <w:t xml:space="preserve">, </w:t>
            </w:r>
            <w:r w:rsidR="00761BE6" w:rsidRPr="00761BE6">
              <w:rPr>
                <w:rFonts w:cstheme="minorHAnsi"/>
                <w:sz w:val="26"/>
                <w:szCs w:val="26"/>
                <w:lang w:val="fr-FR"/>
              </w:rPr>
              <w:t>Maisons-Alfort site,</w:t>
            </w:r>
            <w:r w:rsidRPr="00E440F0">
              <w:rPr>
                <w:rFonts w:cstheme="minorHAnsi"/>
                <w:sz w:val="26"/>
                <w:szCs w:val="26"/>
              </w:rPr>
              <w:t xml:space="preserve"> ANSES, 94700 Maisons-Alfort, France.</w:t>
            </w:r>
          </w:p>
          <w:p w14:paraId="37EF84DB" w14:textId="4B96DF51" w:rsidR="00E440F0" w:rsidRPr="00E440F0" w:rsidRDefault="00E440F0" w:rsidP="00E440F0">
            <w:pPr>
              <w:jc w:val="both"/>
              <w:rPr>
                <w:rFonts w:cstheme="minorHAnsi"/>
                <w:sz w:val="26"/>
                <w:szCs w:val="26"/>
                <w:lang w:val="en-US"/>
              </w:rPr>
            </w:pPr>
            <w:r w:rsidRPr="00E440F0">
              <w:rPr>
                <w:rFonts w:cstheme="minorHAnsi"/>
                <w:sz w:val="26"/>
                <w:szCs w:val="26"/>
                <w:vertAlign w:val="superscript"/>
              </w:rPr>
              <w:t>5</w:t>
            </w:r>
            <w:r w:rsidRPr="00E440F0">
              <w:rPr>
                <w:rFonts w:cstheme="minorHAnsi"/>
                <w:sz w:val="26"/>
                <w:szCs w:val="26"/>
              </w:rPr>
              <w:t xml:space="preserve"> Department of Biomedical Sciences, Institute of Tropical Medicine,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Nationalestraat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 xml:space="preserve"> 155, 2000 </w:t>
            </w:r>
            <w:proofErr w:type="spellStart"/>
            <w:r w:rsidRPr="00E440F0">
              <w:rPr>
                <w:rFonts w:cstheme="minorHAnsi"/>
                <w:sz w:val="26"/>
                <w:szCs w:val="26"/>
              </w:rPr>
              <w:t>Antwerpen</w:t>
            </w:r>
            <w:proofErr w:type="spellEnd"/>
            <w:r w:rsidRPr="00E440F0">
              <w:rPr>
                <w:rFonts w:cstheme="minorHAnsi"/>
                <w:sz w:val="26"/>
                <w:szCs w:val="26"/>
              </w:rPr>
              <w:t>, Belgium</w:t>
            </w:r>
            <w:r w:rsidR="00733A5A">
              <w:rPr>
                <w:rFonts w:cstheme="minorHAnsi"/>
                <w:sz w:val="26"/>
                <w:szCs w:val="26"/>
                <w:lang w:val="en-US"/>
              </w:rPr>
              <w:t>.</w:t>
            </w:r>
          </w:p>
          <w:p w14:paraId="41727A9F" w14:textId="77777777" w:rsidR="00E440F0" w:rsidRPr="00E440F0" w:rsidRDefault="00E440F0" w:rsidP="00004529">
            <w:pPr>
              <w:rPr>
                <w:sz w:val="26"/>
                <w:szCs w:val="26"/>
                <w:lang w:val="en-US"/>
              </w:rPr>
            </w:pPr>
          </w:p>
          <w:p w14:paraId="2D7CEC0F" w14:textId="7B6DE18B" w:rsidR="00A419B3" w:rsidRPr="00E440F0" w:rsidRDefault="00A419B3" w:rsidP="00004529">
            <w:pPr>
              <w:rPr>
                <w:sz w:val="26"/>
                <w:szCs w:val="26"/>
                <w:lang w:val="fr-FR"/>
              </w:rPr>
            </w:pPr>
            <w:r w:rsidRPr="00E440F0">
              <w:rPr>
                <w:sz w:val="26"/>
                <w:szCs w:val="26"/>
                <w:lang w:val="fr-FR"/>
              </w:rPr>
              <w:t xml:space="preserve">Laurent </w:t>
            </w:r>
            <w:r w:rsidRPr="00E440F0">
              <w:rPr>
                <w:sz w:val="26"/>
                <w:szCs w:val="26"/>
                <w:u w:val="single"/>
                <w:lang w:val="fr-FR"/>
              </w:rPr>
              <w:t>Hébert</w:t>
            </w:r>
            <w:r w:rsidRPr="00E440F0">
              <w:rPr>
                <w:sz w:val="26"/>
                <w:szCs w:val="26"/>
                <w:lang w:val="fr-FR"/>
              </w:rPr>
              <w:t>: laurent.hebert@anses.fr</w:t>
            </w:r>
          </w:p>
          <w:p w14:paraId="2FA18BD4" w14:textId="77777777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Gonzalo </w:t>
            </w:r>
            <w:r w:rsidRPr="00E440F0">
              <w:rPr>
                <w:sz w:val="26"/>
                <w:szCs w:val="26"/>
                <w:u w:val="single"/>
              </w:rPr>
              <w:t>Polledo</w:t>
            </w:r>
            <w:r w:rsidRPr="00E440F0">
              <w:rPr>
                <w:sz w:val="26"/>
                <w:szCs w:val="26"/>
              </w:rPr>
              <w:t>: gpolledo@redsarmiento.com.ar</w:t>
            </w:r>
          </w:p>
          <w:p w14:paraId="752A304F" w14:textId="30C66308" w:rsidR="00A419B3" w:rsidRPr="00E440F0" w:rsidRDefault="00A419B3" w:rsidP="00004529">
            <w:pPr>
              <w:rPr>
                <w:sz w:val="26"/>
                <w:szCs w:val="26"/>
                <w:lang w:val="en-US"/>
              </w:rPr>
            </w:pPr>
            <w:r w:rsidRPr="00E440F0">
              <w:rPr>
                <w:sz w:val="26"/>
                <w:szCs w:val="26"/>
                <w:lang w:val="en-US"/>
              </w:rPr>
              <w:t xml:space="preserve">Fanny </w:t>
            </w:r>
            <w:proofErr w:type="spellStart"/>
            <w:r w:rsidRPr="00E440F0">
              <w:rPr>
                <w:sz w:val="26"/>
                <w:szCs w:val="26"/>
                <w:u w:val="single"/>
                <w:lang w:val="en-US"/>
              </w:rPr>
              <w:t>Lecouturier</w:t>
            </w:r>
            <w:proofErr w:type="spellEnd"/>
            <w:r w:rsidRPr="00E440F0">
              <w:rPr>
                <w:sz w:val="26"/>
                <w:szCs w:val="26"/>
                <w:lang w:val="en-US"/>
              </w:rPr>
              <w:t>: fanny.lecouturier@anses.fr</w:t>
            </w:r>
          </w:p>
          <w:p w14:paraId="164C8075" w14:textId="49B11FA3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Mariana </w:t>
            </w:r>
            <w:r w:rsidRPr="00E440F0">
              <w:rPr>
                <w:sz w:val="26"/>
                <w:szCs w:val="26"/>
                <w:u w:val="single"/>
              </w:rPr>
              <w:t>Giorgi</w:t>
            </w:r>
            <w:r w:rsidRPr="00E440F0">
              <w:rPr>
                <w:sz w:val="26"/>
                <w:szCs w:val="26"/>
              </w:rPr>
              <w:t>: mgiorgi@redsarmiento.com.ar</w:t>
            </w:r>
          </w:p>
          <w:p w14:paraId="72013581" w14:textId="22DB5F99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Anthony </w:t>
            </w:r>
            <w:r w:rsidRPr="00E440F0">
              <w:rPr>
                <w:sz w:val="26"/>
                <w:szCs w:val="26"/>
                <w:u w:val="single"/>
              </w:rPr>
              <w:t>Madeline</w:t>
            </w:r>
            <w:r w:rsidRPr="00E440F0">
              <w:rPr>
                <w:sz w:val="26"/>
                <w:szCs w:val="26"/>
              </w:rPr>
              <w:t>: anthony.madeline@anses.fr</w:t>
            </w:r>
          </w:p>
          <w:p w14:paraId="3177BED7" w14:textId="7860816D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Cécile </w:t>
            </w:r>
            <w:r w:rsidRPr="00E440F0">
              <w:rPr>
                <w:sz w:val="26"/>
                <w:szCs w:val="26"/>
                <w:u w:val="single"/>
              </w:rPr>
              <w:t>Beck</w:t>
            </w:r>
            <w:r w:rsidRPr="00E440F0">
              <w:rPr>
                <w:sz w:val="26"/>
                <w:szCs w:val="26"/>
              </w:rPr>
              <w:t>: cecile.beck@anses.fr</w:t>
            </w:r>
          </w:p>
          <w:p w14:paraId="2C604514" w14:textId="4DA81FEE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Karine </w:t>
            </w:r>
            <w:proofErr w:type="spellStart"/>
            <w:r w:rsidRPr="00E440F0">
              <w:rPr>
                <w:sz w:val="26"/>
                <w:szCs w:val="26"/>
                <w:u w:val="single"/>
              </w:rPr>
              <w:t>Laroucau</w:t>
            </w:r>
            <w:proofErr w:type="spellEnd"/>
            <w:r w:rsidRPr="00E440F0">
              <w:rPr>
                <w:sz w:val="26"/>
                <w:szCs w:val="26"/>
              </w:rPr>
              <w:t>: karine.laroucau@anses.fr</w:t>
            </w:r>
          </w:p>
          <w:p w14:paraId="2C45A560" w14:textId="262BD69F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Philippe </w:t>
            </w:r>
            <w:r w:rsidRPr="00E440F0">
              <w:rPr>
                <w:sz w:val="26"/>
                <w:szCs w:val="26"/>
                <w:u w:val="single"/>
              </w:rPr>
              <w:t>Büscher</w:t>
            </w:r>
            <w:r w:rsidRPr="00E440F0">
              <w:rPr>
                <w:sz w:val="26"/>
                <w:szCs w:val="26"/>
              </w:rPr>
              <w:t>: pbuscher@itg.be</w:t>
            </w:r>
          </w:p>
          <w:p w14:paraId="445E1AB8" w14:textId="06DD02D3" w:rsidR="00A419B3" w:rsidRPr="00E440F0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Aymeric </w:t>
            </w:r>
            <w:r w:rsidRPr="00E440F0">
              <w:rPr>
                <w:sz w:val="26"/>
                <w:szCs w:val="26"/>
                <w:u w:val="single"/>
              </w:rPr>
              <w:t>Hans</w:t>
            </w:r>
            <w:r w:rsidRPr="00E440F0">
              <w:rPr>
                <w:sz w:val="26"/>
                <w:szCs w:val="26"/>
              </w:rPr>
              <w:t>: aymeric.hans@anses.fr</w:t>
            </w:r>
          </w:p>
          <w:p w14:paraId="41D714D8" w14:textId="343FF927" w:rsidR="00E440F0" w:rsidRPr="00FA34FC" w:rsidRDefault="00A419B3" w:rsidP="00004529">
            <w:pPr>
              <w:rPr>
                <w:sz w:val="26"/>
                <w:szCs w:val="26"/>
              </w:rPr>
            </w:pPr>
            <w:r w:rsidRPr="00E440F0">
              <w:rPr>
                <w:sz w:val="26"/>
                <w:szCs w:val="26"/>
              </w:rPr>
              <w:t xml:space="preserve">Teotimo </w:t>
            </w:r>
            <w:r w:rsidRPr="00E440F0">
              <w:rPr>
                <w:sz w:val="26"/>
                <w:szCs w:val="26"/>
                <w:u w:val="single"/>
              </w:rPr>
              <w:t>Becú</w:t>
            </w:r>
            <w:r w:rsidRPr="00E440F0">
              <w:rPr>
                <w:sz w:val="26"/>
                <w:szCs w:val="26"/>
              </w:rPr>
              <w:t>: t-becu@redsarmiento.com.ar</w:t>
            </w:r>
          </w:p>
        </w:tc>
      </w:tr>
    </w:tbl>
    <w:p w14:paraId="1F0A2C8F" w14:textId="77777777" w:rsidR="00FA34FC" w:rsidRDefault="00FA34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C8D4958" w14:textId="35A70ECB" w:rsidR="000F683D" w:rsidRDefault="000F683D" w:rsidP="000F683D">
      <w:pPr>
        <w:rPr>
          <w:sz w:val="28"/>
          <w:szCs w:val="28"/>
        </w:rPr>
      </w:pPr>
    </w:p>
    <w:p w14:paraId="64EF555D" w14:textId="77777777" w:rsidR="00FA34FC" w:rsidRDefault="00FA34FC" w:rsidP="000F683D">
      <w:pPr>
        <w:rPr>
          <w:sz w:val="28"/>
          <w:szCs w:val="28"/>
        </w:rPr>
      </w:pPr>
    </w:p>
    <w:p w14:paraId="5C5C3D9A" w14:textId="77777777" w:rsidR="000F683D" w:rsidRDefault="000F683D" w:rsidP="000F683D">
      <w:pPr>
        <w:spacing w:after="120"/>
        <w:rPr>
          <w:sz w:val="28"/>
          <w:szCs w:val="28"/>
        </w:rPr>
      </w:pPr>
      <w:r w:rsidRPr="00FA34FC">
        <w:rPr>
          <w:b/>
          <w:sz w:val="28"/>
          <w:szCs w:val="28"/>
        </w:rPr>
        <w:t>Abstract</w:t>
      </w:r>
      <w:r>
        <w:rPr>
          <w:sz w:val="28"/>
          <w:szCs w:val="28"/>
        </w:rPr>
        <w:t xml:space="preserve"> (maximum 300 words)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F683D" w14:paraId="6474D21F" w14:textId="77777777" w:rsidTr="00004529">
        <w:tc>
          <w:tcPr>
            <w:tcW w:w="9242" w:type="dxa"/>
          </w:tcPr>
          <w:p w14:paraId="79D37D7A" w14:textId="7777777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08E8">
              <w:rPr>
                <w:rFonts w:asciiTheme="minorHAnsi" w:hAnsiTheme="minorHAnsi" w:cstheme="minorHAnsi"/>
                <w:b/>
                <w:bCs/>
              </w:rPr>
              <w:t>Introduction</w:t>
            </w:r>
          </w:p>
          <w:p w14:paraId="5D48B210" w14:textId="4671FB22" w:rsidR="00A6155B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Theme="minorHAnsi" w:hAnsiTheme="minorHAnsi" w:cstheme="minorHAnsi"/>
              </w:rPr>
            </w:pPr>
            <w:r w:rsidRPr="001808E8">
              <w:rPr>
                <w:rFonts w:asciiTheme="minorHAnsi" w:hAnsiTheme="minorHAnsi" w:cstheme="minorHAnsi"/>
              </w:rPr>
              <w:t xml:space="preserve">Northern Argentina hosts equine population live under semi-wild conditions with limited access to veterinary care. These horse populations are in contact with </w:t>
            </w:r>
            <w:proofErr w:type="spellStart"/>
            <w:r w:rsidR="0043388C" w:rsidRPr="00FA34FC">
              <w:rPr>
                <w:rFonts w:asciiTheme="minorHAnsi" w:hAnsiTheme="minorHAnsi" w:cstheme="minorHAnsi"/>
                <w:i/>
              </w:rPr>
              <w:t>i</w:t>
            </w:r>
            <w:proofErr w:type="spellEnd"/>
            <w:r w:rsidR="0043388C" w:rsidRPr="001808E8">
              <w:rPr>
                <w:rFonts w:asciiTheme="minorHAnsi" w:hAnsiTheme="minorHAnsi" w:cstheme="minorHAnsi"/>
              </w:rPr>
              <w:t>)</w:t>
            </w:r>
            <w:r w:rsidR="0043388C">
              <w:rPr>
                <w:rFonts w:asciiTheme="minorHAnsi" w:hAnsiTheme="minorHAnsi" w:cstheme="minorHAnsi"/>
              </w:rPr>
              <w:t xml:space="preserve"> </w:t>
            </w:r>
            <w:r w:rsidRPr="001808E8">
              <w:rPr>
                <w:rFonts w:asciiTheme="minorHAnsi" w:hAnsiTheme="minorHAnsi" w:cstheme="minorHAnsi"/>
              </w:rPr>
              <w:t>wildlife animals considered as reservoir of potential horse pathogens (</w:t>
            </w:r>
            <w:proofErr w:type="spellStart"/>
            <w:r w:rsidRPr="001808E8">
              <w:rPr>
                <w:rFonts w:asciiTheme="minorHAnsi" w:hAnsiTheme="minorHAnsi" w:cstheme="minorHAnsi"/>
              </w:rPr>
              <w:t>eg</w:t>
            </w:r>
            <w:proofErr w:type="spellEnd"/>
            <w:r w:rsidRPr="001808E8">
              <w:rPr>
                <w:rFonts w:asciiTheme="minorHAnsi" w:hAnsiTheme="minorHAnsi" w:cstheme="minorHAnsi"/>
              </w:rPr>
              <w:t xml:space="preserve"> </w:t>
            </w:r>
            <w:r w:rsidRPr="001808E8">
              <w:rPr>
                <w:rFonts w:asciiTheme="minorHAnsi" w:hAnsiTheme="minorHAnsi" w:cstheme="minorHAnsi"/>
                <w:i/>
              </w:rPr>
              <w:t>Capybara</w:t>
            </w:r>
            <w:r w:rsidRPr="001808E8">
              <w:rPr>
                <w:rFonts w:asciiTheme="minorHAnsi" w:hAnsiTheme="minorHAnsi" w:cstheme="minorHAnsi"/>
              </w:rPr>
              <w:t xml:space="preserve">, </w:t>
            </w:r>
            <w:r w:rsidRPr="001808E8">
              <w:rPr>
                <w:rFonts w:asciiTheme="minorHAnsi" w:hAnsiTheme="minorHAnsi" w:cstheme="minorHAnsi"/>
                <w:i/>
              </w:rPr>
              <w:t>Coatis</w:t>
            </w:r>
            <w:r w:rsidR="00671AAA">
              <w:rPr>
                <w:rFonts w:asciiTheme="minorHAnsi" w:hAnsiTheme="minorHAnsi" w:cstheme="minorHAnsi"/>
                <w:i/>
              </w:rPr>
              <w:t>, Pampas Deer</w:t>
            </w:r>
            <w:r w:rsidRPr="001808E8">
              <w:rPr>
                <w:rFonts w:asciiTheme="minorHAnsi" w:hAnsiTheme="minorHAnsi" w:cstheme="minorHAnsi"/>
              </w:rPr>
              <w:t xml:space="preserve">) and </w:t>
            </w:r>
            <w:r w:rsidRPr="00FA34FC">
              <w:rPr>
                <w:rFonts w:asciiTheme="minorHAnsi" w:hAnsiTheme="minorHAnsi" w:cstheme="minorHAnsi"/>
                <w:i/>
              </w:rPr>
              <w:t>ii</w:t>
            </w:r>
            <w:r w:rsidRPr="001808E8">
              <w:rPr>
                <w:rFonts w:asciiTheme="minorHAnsi" w:hAnsiTheme="minorHAnsi" w:cstheme="minorHAnsi"/>
              </w:rPr>
              <w:t xml:space="preserve">) potential vectors such as ticks, horse flies and vampire bats. In </w:t>
            </w:r>
            <w:bookmarkStart w:id="0" w:name="_GoBack"/>
            <w:bookmarkEnd w:id="0"/>
            <w:r w:rsidRPr="001808E8">
              <w:rPr>
                <w:rFonts w:asciiTheme="minorHAnsi" w:hAnsiTheme="minorHAnsi" w:cstheme="minorHAnsi"/>
              </w:rPr>
              <w:t xml:space="preserve">this context, the aim of this study was to evaluate the </w:t>
            </w:r>
            <w:proofErr w:type="spellStart"/>
            <w:r w:rsidRPr="001808E8">
              <w:rPr>
                <w:rFonts w:asciiTheme="minorHAnsi" w:hAnsiTheme="minorHAnsi" w:cstheme="minorHAnsi"/>
              </w:rPr>
              <w:t>seroprevalence</w:t>
            </w:r>
            <w:proofErr w:type="spellEnd"/>
            <w:r w:rsidRPr="001808E8">
              <w:rPr>
                <w:rFonts w:asciiTheme="minorHAnsi" w:hAnsiTheme="minorHAnsi" w:cstheme="minorHAnsi"/>
              </w:rPr>
              <w:t xml:space="preserve"> </w:t>
            </w:r>
            <w:r w:rsidR="0043388C">
              <w:rPr>
                <w:rFonts w:asciiTheme="minorHAnsi" w:hAnsiTheme="minorHAnsi" w:cstheme="minorHAnsi"/>
              </w:rPr>
              <w:t>for various regulated horse diseases</w:t>
            </w:r>
            <w:r w:rsidR="0043388C" w:rsidRPr="001808E8">
              <w:rPr>
                <w:rFonts w:asciiTheme="minorHAnsi" w:hAnsiTheme="minorHAnsi" w:cstheme="minorHAnsi"/>
              </w:rPr>
              <w:t xml:space="preserve"> </w:t>
            </w:r>
            <w:r w:rsidR="00A6155B" w:rsidRPr="001808E8">
              <w:rPr>
                <w:rFonts w:asciiTheme="minorHAnsi" w:hAnsiTheme="minorHAnsi" w:cstheme="minorHAnsi"/>
              </w:rPr>
              <w:t>in a herd of horses from a farm located in North Argentina.</w:t>
            </w:r>
          </w:p>
          <w:p w14:paraId="25A14928" w14:textId="7777777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 w:firstLine="468"/>
              <w:jc w:val="both"/>
              <w:rPr>
                <w:rFonts w:asciiTheme="minorHAnsi" w:hAnsiTheme="minorHAnsi" w:cstheme="minorHAnsi"/>
              </w:rPr>
            </w:pPr>
          </w:p>
          <w:p w14:paraId="37803F53" w14:textId="7777777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808E8">
              <w:rPr>
                <w:rFonts w:asciiTheme="minorHAnsi" w:hAnsiTheme="minorHAnsi" w:cstheme="minorHAnsi"/>
                <w:b/>
                <w:bCs/>
              </w:rPr>
              <w:t>Materials and methods</w:t>
            </w:r>
          </w:p>
          <w:p w14:paraId="4E0A2B0B" w14:textId="3ADCA0D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Theme="minorHAnsi" w:hAnsiTheme="minorHAnsi" w:cstheme="minorHAnsi"/>
              </w:rPr>
            </w:pPr>
            <w:r w:rsidRPr="001808E8">
              <w:rPr>
                <w:rFonts w:asciiTheme="minorHAnsi" w:hAnsiTheme="minorHAnsi" w:cstheme="minorHAnsi"/>
              </w:rPr>
              <w:t xml:space="preserve">Serum samples were collected from 51 horses </w:t>
            </w:r>
            <w:r w:rsidR="0043388C">
              <w:rPr>
                <w:rFonts w:asciiTheme="minorHAnsi" w:hAnsiTheme="minorHAnsi" w:cstheme="minorHAnsi"/>
              </w:rPr>
              <w:t>in</w:t>
            </w:r>
            <w:r w:rsidRPr="001808E8">
              <w:rPr>
                <w:rFonts w:asciiTheme="minorHAnsi" w:hAnsiTheme="minorHAnsi" w:cstheme="minorHAnsi"/>
              </w:rPr>
              <w:t xml:space="preserve"> a farm (surface: 3,000 hectares) located in Chaco province. Serum samples were tested for equine </w:t>
            </w:r>
            <w:proofErr w:type="spellStart"/>
            <w:r w:rsidRPr="001808E8">
              <w:rPr>
                <w:rFonts w:asciiTheme="minorHAnsi" w:hAnsiTheme="minorHAnsi" w:cstheme="minorHAnsi"/>
              </w:rPr>
              <w:t>trypanosomosis</w:t>
            </w:r>
            <w:proofErr w:type="spellEnd"/>
            <w:r w:rsidR="00671AAA">
              <w:rPr>
                <w:rFonts w:asciiTheme="minorHAnsi" w:hAnsiTheme="minorHAnsi" w:cstheme="minorHAnsi"/>
              </w:rPr>
              <w:t xml:space="preserve"> (ET)</w:t>
            </w:r>
            <w:r w:rsidR="00D81433">
              <w:rPr>
                <w:rFonts w:asciiTheme="minorHAnsi" w:hAnsiTheme="minorHAnsi" w:cstheme="minorHAnsi"/>
              </w:rPr>
              <w:t>,</w:t>
            </w:r>
            <w:r w:rsidRPr="001808E8">
              <w:rPr>
                <w:rFonts w:asciiTheme="minorHAnsi" w:hAnsiTheme="minorHAnsi" w:cstheme="minorHAnsi"/>
              </w:rPr>
              <w:t xml:space="preserve"> </w:t>
            </w:r>
            <w:r w:rsidR="00D81433" w:rsidRPr="001808E8">
              <w:rPr>
                <w:rFonts w:asciiTheme="minorHAnsi" w:hAnsiTheme="minorHAnsi" w:cstheme="minorHAnsi"/>
              </w:rPr>
              <w:t xml:space="preserve">equine </w:t>
            </w:r>
            <w:proofErr w:type="spellStart"/>
            <w:r w:rsidR="00D81433" w:rsidRPr="001808E8">
              <w:rPr>
                <w:rFonts w:asciiTheme="minorHAnsi" w:hAnsiTheme="minorHAnsi" w:cstheme="minorHAnsi"/>
              </w:rPr>
              <w:t>piroplasmosis</w:t>
            </w:r>
            <w:proofErr w:type="spellEnd"/>
            <w:r w:rsidR="00197B0A">
              <w:rPr>
                <w:rFonts w:asciiTheme="minorHAnsi" w:hAnsiTheme="minorHAnsi" w:cstheme="minorHAnsi"/>
              </w:rPr>
              <w:t xml:space="preserve"> </w:t>
            </w:r>
            <w:r w:rsidR="00D81433" w:rsidRPr="001808E8">
              <w:rPr>
                <w:rFonts w:asciiTheme="minorHAnsi" w:hAnsiTheme="minorHAnsi" w:cstheme="minorHAnsi"/>
              </w:rPr>
              <w:t>(</w:t>
            </w:r>
            <w:proofErr w:type="spellStart"/>
            <w:r w:rsidR="00D81433" w:rsidRPr="001808E8">
              <w:rPr>
                <w:rFonts w:asciiTheme="minorHAnsi" w:hAnsiTheme="minorHAnsi" w:cstheme="minorHAnsi"/>
                <w:i/>
              </w:rPr>
              <w:t>Theileria</w:t>
            </w:r>
            <w:proofErr w:type="spellEnd"/>
            <w:r w:rsidR="00D81433" w:rsidRPr="001808E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="00D81433" w:rsidRPr="001808E8">
              <w:rPr>
                <w:rFonts w:asciiTheme="minorHAnsi" w:hAnsiTheme="minorHAnsi" w:cstheme="minorHAnsi"/>
                <w:i/>
              </w:rPr>
              <w:t>equi</w:t>
            </w:r>
            <w:proofErr w:type="spellEnd"/>
            <w:r w:rsidR="00401307">
              <w:rPr>
                <w:rFonts w:asciiTheme="minorHAnsi" w:hAnsiTheme="minorHAnsi" w:cstheme="minorHAnsi"/>
                <w:i/>
              </w:rPr>
              <w:t xml:space="preserve">, </w:t>
            </w:r>
            <w:r w:rsidR="00401307">
              <w:rPr>
                <w:rFonts w:asciiTheme="minorHAnsi" w:hAnsiTheme="minorHAnsi" w:cstheme="minorHAnsi"/>
              </w:rPr>
              <w:t>EP</w:t>
            </w:r>
            <w:r w:rsidR="00D81433" w:rsidRPr="001808E8">
              <w:rPr>
                <w:rFonts w:asciiTheme="minorHAnsi" w:hAnsiTheme="minorHAnsi" w:cstheme="minorHAnsi"/>
              </w:rPr>
              <w:t>)</w:t>
            </w:r>
            <w:r w:rsidR="00D81433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197B0A">
              <w:rPr>
                <w:rFonts w:asciiTheme="minorHAnsi" w:hAnsiTheme="minorHAnsi" w:cstheme="minorHAnsi"/>
              </w:rPr>
              <w:t>glanders</w:t>
            </w:r>
            <w:proofErr w:type="spellEnd"/>
            <w:r w:rsidR="00197B0A">
              <w:rPr>
                <w:rFonts w:asciiTheme="minorHAnsi" w:hAnsiTheme="minorHAnsi" w:cstheme="minorHAnsi"/>
              </w:rPr>
              <w:t xml:space="preserve"> </w:t>
            </w:r>
            <w:r w:rsidRPr="001808E8">
              <w:rPr>
                <w:rFonts w:asciiTheme="minorHAnsi" w:hAnsiTheme="minorHAnsi" w:cstheme="minorHAnsi"/>
              </w:rPr>
              <w:t xml:space="preserve">by complement fixation test, for </w:t>
            </w:r>
            <w:r w:rsidR="00A6155B" w:rsidRPr="00A6155B">
              <w:rPr>
                <w:rFonts w:asciiTheme="minorHAnsi" w:hAnsiTheme="minorHAnsi" w:cstheme="minorHAnsi"/>
              </w:rPr>
              <w:t>equine infectious anemia</w:t>
            </w:r>
            <w:r w:rsidR="00A6155B" w:rsidRPr="001808E8" w:rsidDel="00A6155B">
              <w:rPr>
                <w:rFonts w:asciiTheme="minorHAnsi" w:hAnsiTheme="minorHAnsi" w:cstheme="minorHAnsi"/>
              </w:rPr>
              <w:t xml:space="preserve"> </w:t>
            </w:r>
            <w:r w:rsidR="00671AAA">
              <w:rPr>
                <w:rFonts w:asciiTheme="minorHAnsi" w:hAnsiTheme="minorHAnsi" w:cstheme="minorHAnsi"/>
              </w:rPr>
              <w:t xml:space="preserve">virus </w:t>
            </w:r>
            <w:r w:rsidR="0043388C">
              <w:rPr>
                <w:rFonts w:asciiTheme="minorHAnsi" w:hAnsiTheme="minorHAnsi" w:cstheme="minorHAnsi"/>
              </w:rPr>
              <w:t>(EIA</w:t>
            </w:r>
            <w:r w:rsidR="00671AAA">
              <w:rPr>
                <w:rFonts w:asciiTheme="minorHAnsi" w:hAnsiTheme="minorHAnsi" w:cstheme="minorHAnsi"/>
              </w:rPr>
              <w:t>V</w:t>
            </w:r>
            <w:r w:rsidR="0043388C">
              <w:rPr>
                <w:rFonts w:asciiTheme="minorHAnsi" w:hAnsiTheme="minorHAnsi" w:cstheme="minorHAnsi"/>
              </w:rPr>
              <w:t xml:space="preserve">) </w:t>
            </w:r>
            <w:r w:rsidRPr="001808E8">
              <w:rPr>
                <w:rFonts w:asciiTheme="minorHAnsi" w:hAnsiTheme="minorHAnsi" w:cstheme="minorHAnsi"/>
              </w:rPr>
              <w:t xml:space="preserve">by agar gel immunodiffusion </w:t>
            </w:r>
            <w:r w:rsidR="00D81433">
              <w:rPr>
                <w:rFonts w:asciiTheme="minorHAnsi" w:hAnsiTheme="minorHAnsi" w:cstheme="minorHAnsi"/>
              </w:rPr>
              <w:t xml:space="preserve">and for </w:t>
            </w:r>
            <w:r w:rsidR="00D81433" w:rsidRPr="00A6155B">
              <w:rPr>
                <w:rFonts w:asciiTheme="minorHAnsi" w:hAnsiTheme="minorHAnsi" w:cstheme="minorHAnsi"/>
              </w:rPr>
              <w:t>equine viral arteritis (EVA), West Nile virus (WNV), Eastern equine encephalomyelitis virus (EEEV), Western equine encephalomyelitis virus (WEEV) and Venezuelan equine encephalitis virus (VEEV)</w:t>
            </w:r>
            <w:r w:rsidR="00D81433">
              <w:rPr>
                <w:rFonts w:asciiTheme="minorHAnsi" w:hAnsiTheme="minorHAnsi" w:cstheme="minorHAnsi"/>
              </w:rPr>
              <w:t xml:space="preserve"> by </w:t>
            </w:r>
            <w:r w:rsidR="0043388C">
              <w:rPr>
                <w:rFonts w:asciiTheme="minorHAnsi" w:hAnsiTheme="minorHAnsi" w:cstheme="minorHAnsi"/>
              </w:rPr>
              <w:t>v</w:t>
            </w:r>
            <w:r w:rsidR="00D81433" w:rsidRPr="00D81433">
              <w:rPr>
                <w:rFonts w:asciiTheme="minorHAnsi" w:hAnsiTheme="minorHAnsi" w:cstheme="minorHAnsi"/>
              </w:rPr>
              <w:t xml:space="preserve">irus </w:t>
            </w:r>
            <w:proofErr w:type="spellStart"/>
            <w:r w:rsidR="0043388C">
              <w:rPr>
                <w:rFonts w:asciiTheme="minorHAnsi" w:hAnsiTheme="minorHAnsi" w:cstheme="minorHAnsi"/>
              </w:rPr>
              <w:t>n</w:t>
            </w:r>
            <w:r w:rsidR="00D81433" w:rsidRPr="00D81433">
              <w:rPr>
                <w:rFonts w:asciiTheme="minorHAnsi" w:hAnsiTheme="minorHAnsi" w:cstheme="minorHAnsi"/>
              </w:rPr>
              <w:t>eutralisation</w:t>
            </w:r>
            <w:proofErr w:type="spellEnd"/>
            <w:r w:rsidR="00D81433" w:rsidRPr="00D81433">
              <w:rPr>
                <w:rFonts w:asciiTheme="minorHAnsi" w:hAnsiTheme="minorHAnsi" w:cstheme="minorHAnsi"/>
              </w:rPr>
              <w:t xml:space="preserve"> </w:t>
            </w:r>
            <w:r w:rsidR="0043388C">
              <w:rPr>
                <w:rFonts w:asciiTheme="minorHAnsi" w:hAnsiTheme="minorHAnsi" w:cstheme="minorHAnsi"/>
              </w:rPr>
              <w:t>t</w:t>
            </w:r>
            <w:r w:rsidR="00D81433" w:rsidRPr="00D81433">
              <w:rPr>
                <w:rFonts w:asciiTheme="minorHAnsi" w:hAnsiTheme="minorHAnsi" w:cstheme="minorHAnsi"/>
              </w:rPr>
              <w:t>est</w:t>
            </w:r>
            <w:r w:rsidRPr="001808E8">
              <w:rPr>
                <w:rFonts w:asciiTheme="minorHAnsi" w:hAnsiTheme="minorHAnsi" w:cstheme="minorHAnsi"/>
              </w:rPr>
              <w:t>.</w:t>
            </w:r>
          </w:p>
          <w:p w14:paraId="7722214E" w14:textId="7777777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rPr>
                <w:rFonts w:asciiTheme="minorHAnsi" w:hAnsiTheme="minorHAnsi" w:cstheme="minorHAnsi"/>
                <w:b/>
                <w:bCs/>
              </w:rPr>
            </w:pPr>
          </w:p>
          <w:p w14:paraId="7364A525" w14:textId="77777777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rPr>
                <w:rFonts w:asciiTheme="minorHAnsi" w:hAnsiTheme="minorHAnsi" w:cstheme="minorHAnsi"/>
                <w:b/>
                <w:bCs/>
              </w:rPr>
            </w:pPr>
            <w:r w:rsidRPr="001808E8">
              <w:rPr>
                <w:rFonts w:asciiTheme="minorHAnsi" w:hAnsiTheme="minorHAnsi" w:cstheme="minorHAnsi"/>
                <w:b/>
                <w:bCs/>
              </w:rPr>
              <w:t>Results and discussion</w:t>
            </w:r>
          </w:p>
          <w:p w14:paraId="7720675C" w14:textId="1E88CA40" w:rsidR="00E440F0" w:rsidRPr="001808E8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Theme="minorHAnsi" w:hAnsiTheme="minorHAnsi" w:cstheme="minorHAnsi"/>
              </w:rPr>
            </w:pPr>
            <w:r w:rsidRPr="001808E8">
              <w:rPr>
                <w:rFonts w:asciiTheme="minorHAnsi" w:hAnsiTheme="minorHAnsi" w:cstheme="minorHAnsi"/>
              </w:rPr>
              <w:t xml:space="preserve">Most of these horses presented regular health conditions although few of them presented clinical signs. The presence of potentials vectors (ticks and horse flies) </w:t>
            </w:r>
            <w:proofErr w:type="gramStart"/>
            <w:r w:rsidRPr="001808E8">
              <w:rPr>
                <w:rFonts w:asciiTheme="minorHAnsi" w:hAnsiTheme="minorHAnsi" w:cstheme="minorHAnsi"/>
              </w:rPr>
              <w:t>was confirmed</w:t>
            </w:r>
            <w:proofErr w:type="gramEnd"/>
            <w:r w:rsidRPr="001808E8">
              <w:rPr>
                <w:rFonts w:asciiTheme="minorHAnsi" w:hAnsiTheme="minorHAnsi" w:cstheme="minorHAnsi"/>
              </w:rPr>
              <w:t xml:space="preserve"> and a fresh bite of a vampire bat (</w:t>
            </w:r>
            <w:proofErr w:type="spellStart"/>
            <w:r w:rsidRPr="001808E8">
              <w:rPr>
                <w:rFonts w:asciiTheme="minorHAnsi" w:hAnsiTheme="minorHAnsi" w:cstheme="minorHAnsi"/>
                <w:i/>
              </w:rPr>
              <w:t>Desmodus</w:t>
            </w:r>
            <w:proofErr w:type="spellEnd"/>
            <w:r w:rsidRPr="001808E8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1808E8">
              <w:rPr>
                <w:rFonts w:asciiTheme="minorHAnsi" w:hAnsiTheme="minorHAnsi" w:cstheme="minorHAnsi"/>
                <w:i/>
              </w:rPr>
              <w:t>rotundus</w:t>
            </w:r>
            <w:proofErr w:type="spellEnd"/>
            <w:r w:rsidRPr="001808E8">
              <w:rPr>
                <w:rFonts w:asciiTheme="minorHAnsi" w:hAnsiTheme="minorHAnsi" w:cstheme="minorHAnsi"/>
              </w:rPr>
              <w:t xml:space="preserve">) was observed. The </w:t>
            </w:r>
            <w:proofErr w:type="spellStart"/>
            <w:r w:rsidRPr="001808E8">
              <w:rPr>
                <w:rFonts w:asciiTheme="minorHAnsi" w:hAnsiTheme="minorHAnsi" w:cstheme="minorHAnsi"/>
              </w:rPr>
              <w:t>sero-prevalences</w:t>
            </w:r>
            <w:proofErr w:type="spellEnd"/>
            <w:r w:rsidRPr="001808E8">
              <w:rPr>
                <w:rFonts w:asciiTheme="minorHAnsi" w:hAnsiTheme="minorHAnsi" w:cstheme="minorHAnsi"/>
              </w:rPr>
              <w:t xml:space="preserve"> were 59 % (30/51) for </w:t>
            </w:r>
            <w:r w:rsidR="0043388C">
              <w:rPr>
                <w:rFonts w:asciiTheme="minorHAnsi" w:hAnsiTheme="minorHAnsi" w:cstheme="minorHAnsi"/>
              </w:rPr>
              <w:t>equine</w:t>
            </w:r>
            <w:r w:rsidR="0043388C" w:rsidRPr="001808E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E8">
              <w:rPr>
                <w:rFonts w:asciiTheme="minorHAnsi" w:hAnsiTheme="minorHAnsi" w:cstheme="minorHAnsi"/>
              </w:rPr>
              <w:t>trypanosomosis</w:t>
            </w:r>
            <w:proofErr w:type="spellEnd"/>
            <w:r w:rsidRPr="001808E8">
              <w:rPr>
                <w:rFonts w:asciiTheme="minorHAnsi" w:hAnsiTheme="minorHAnsi" w:cstheme="minorHAnsi"/>
              </w:rPr>
              <w:t xml:space="preserve">, </w:t>
            </w:r>
            <w:r w:rsidR="00197B0A" w:rsidRPr="001808E8">
              <w:rPr>
                <w:rFonts w:asciiTheme="minorHAnsi" w:hAnsiTheme="minorHAnsi" w:cstheme="minorHAnsi"/>
              </w:rPr>
              <w:t xml:space="preserve">69 % (35/51) for </w:t>
            </w:r>
            <w:r w:rsidR="0043388C">
              <w:rPr>
                <w:rFonts w:asciiTheme="minorHAnsi" w:hAnsiTheme="minorHAnsi" w:cstheme="minorHAnsi"/>
              </w:rPr>
              <w:t xml:space="preserve">equine </w:t>
            </w:r>
            <w:proofErr w:type="spellStart"/>
            <w:r w:rsidR="00197B0A" w:rsidRPr="001808E8">
              <w:rPr>
                <w:rFonts w:asciiTheme="minorHAnsi" w:hAnsiTheme="minorHAnsi" w:cstheme="minorHAnsi"/>
              </w:rPr>
              <w:t>piroplasmosis</w:t>
            </w:r>
            <w:proofErr w:type="spellEnd"/>
            <w:r w:rsidR="00197B0A" w:rsidRPr="001808E8">
              <w:rPr>
                <w:rFonts w:asciiTheme="minorHAnsi" w:hAnsiTheme="minorHAnsi" w:cstheme="minorHAnsi"/>
              </w:rPr>
              <w:t xml:space="preserve"> </w:t>
            </w:r>
            <w:r w:rsidR="00197B0A">
              <w:rPr>
                <w:rFonts w:asciiTheme="minorHAnsi" w:hAnsiTheme="minorHAnsi" w:cstheme="minorHAnsi"/>
              </w:rPr>
              <w:t xml:space="preserve">and </w:t>
            </w:r>
            <w:r w:rsidRPr="001808E8">
              <w:rPr>
                <w:rFonts w:asciiTheme="minorHAnsi" w:hAnsiTheme="minorHAnsi" w:cstheme="minorHAnsi"/>
              </w:rPr>
              <w:t xml:space="preserve">100 % (51/51) for EIA </w:t>
            </w:r>
            <w:r w:rsidR="00197B0A">
              <w:rPr>
                <w:rFonts w:asciiTheme="minorHAnsi" w:hAnsiTheme="minorHAnsi" w:cstheme="minorHAnsi"/>
              </w:rPr>
              <w:t xml:space="preserve">and WNV. The animals were </w:t>
            </w:r>
            <w:r w:rsidR="0043388C">
              <w:rPr>
                <w:rFonts w:asciiTheme="minorHAnsi" w:hAnsiTheme="minorHAnsi" w:cstheme="minorHAnsi"/>
              </w:rPr>
              <w:t>seronegative</w:t>
            </w:r>
            <w:r w:rsidR="00197B0A">
              <w:rPr>
                <w:rFonts w:asciiTheme="minorHAnsi" w:hAnsiTheme="minorHAnsi" w:cstheme="minorHAnsi"/>
              </w:rPr>
              <w:t xml:space="preserve"> for the other tested diseases</w:t>
            </w:r>
            <w:r w:rsidRPr="001808E8">
              <w:rPr>
                <w:rFonts w:asciiTheme="minorHAnsi" w:hAnsiTheme="minorHAnsi" w:cstheme="minorHAnsi"/>
              </w:rPr>
              <w:t xml:space="preserve">. Among these horses, four </w:t>
            </w:r>
            <w:proofErr w:type="gramStart"/>
            <w:r w:rsidRPr="001808E8">
              <w:rPr>
                <w:rFonts w:asciiTheme="minorHAnsi" w:hAnsiTheme="minorHAnsi" w:cstheme="minorHAnsi"/>
              </w:rPr>
              <w:t>were identified</w:t>
            </w:r>
            <w:proofErr w:type="gramEnd"/>
            <w:r w:rsidRPr="001808E8">
              <w:rPr>
                <w:rFonts w:asciiTheme="minorHAnsi" w:hAnsiTheme="minorHAnsi" w:cstheme="minorHAnsi"/>
              </w:rPr>
              <w:t xml:space="preserve"> as highly seropositive for</w:t>
            </w:r>
            <w:r w:rsidR="00671AAA">
              <w:rPr>
                <w:rFonts w:asciiTheme="minorHAnsi" w:hAnsiTheme="minorHAnsi" w:cstheme="minorHAnsi"/>
              </w:rPr>
              <w:t xml:space="preserve"> </w:t>
            </w:r>
            <w:r w:rsidR="00401307">
              <w:rPr>
                <w:rFonts w:asciiTheme="minorHAnsi" w:hAnsiTheme="minorHAnsi" w:cstheme="minorHAnsi"/>
              </w:rPr>
              <w:t>ET</w:t>
            </w:r>
            <w:r w:rsidR="00671AAA" w:rsidRPr="001808E8">
              <w:rPr>
                <w:rFonts w:asciiTheme="minorHAnsi" w:hAnsiTheme="minorHAnsi" w:cstheme="minorHAnsi"/>
              </w:rPr>
              <w:t xml:space="preserve">, </w:t>
            </w:r>
            <w:r w:rsidR="00401307">
              <w:rPr>
                <w:rFonts w:asciiTheme="minorHAnsi" w:hAnsiTheme="minorHAnsi" w:cstheme="minorHAnsi"/>
              </w:rPr>
              <w:t>EP</w:t>
            </w:r>
            <w:r w:rsidR="00671AAA">
              <w:rPr>
                <w:rFonts w:asciiTheme="minorHAnsi" w:hAnsiTheme="minorHAnsi" w:cstheme="minorHAnsi"/>
              </w:rPr>
              <w:t>,</w:t>
            </w:r>
            <w:r w:rsidR="00671AAA" w:rsidRPr="001808E8">
              <w:rPr>
                <w:rFonts w:asciiTheme="minorHAnsi" w:hAnsiTheme="minorHAnsi" w:cstheme="minorHAnsi"/>
              </w:rPr>
              <w:t xml:space="preserve"> EIA</w:t>
            </w:r>
            <w:r w:rsidR="00401307">
              <w:rPr>
                <w:rFonts w:asciiTheme="minorHAnsi" w:hAnsiTheme="minorHAnsi" w:cstheme="minorHAnsi"/>
              </w:rPr>
              <w:t>V</w:t>
            </w:r>
            <w:r w:rsidR="00671AAA" w:rsidRPr="001808E8">
              <w:rPr>
                <w:rFonts w:asciiTheme="minorHAnsi" w:hAnsiTheme="minorHAnsi" w:cstheme="minorHAnsi"/>
              </w:rPr>
              <w:t xml:space="preserve"> </w:t>
            </w:r>
            <w:r w:rsidR="00671AAA">
              <w:rPr>
                <w:rFonts w:asciiTheme="minorHAnsi" w:hAnsiTheme="minorHAnsi" w:cstheme="minorHAnsi"/>
              </w:rPr>
              <w:t>and WNV</w:t>
            </w:r>
            <w:r w:rsidRPr="001808E8">
              <w:rPr>
                <w:rFonts w:asciiTheme="minorHAnsi" w:hAnsiTheme="minorHAnsi" w:cstheme="minorHAnsi"/>
              </w:rPr>
              <w:t>.</w:t>
            </w:r>
          </w:p>
          <w:p w14:paraId="312A3C6B" w14:textId="0067273B" w:rsidR="00E440F0" w:rsidRDefault="00E440F0" w:rsidP="001808E8">
            <w:pPr>
              <w:pStyle w:val="Corpsdetexte"/>
              <w:tabs>
                <w:tab w:val="left" w:pos="284"/>
                <w:tab w:val="left" w:pos="567"/>
              </w:tabs>
              <w:spacing w:line="276" w:lineRule="auto"/>
              <w:ind w:left="0" w:right="-6"/>
              <w:jc w:val="both"/>
              <w:rPr>
                <w:rFonts w:ascii="Times" w:hAnsi="Times" w:cs="Arial"/>
                <w:b/>
                <w:bCs/>
              </w:rPr>
            </w:pPr>
            <w:r w:rsidRPr="001808E8">
              <w:rPr>
                <w:rFonts w:asciiTheme="minorHAnsi" w:hAnsiTheme="minorHAnsi" w:cstheme="minorHAnsi"/>
                <w:bCs/>
              </w:rPr>
              <w:t>The data of this serological study illustrat</w:t>
            </w:r>
            <w:r w:rsidR="0043388C">
              <w:rPr>
                <w:rFonts w:asciiTheme="minorHAnsi" w:hAnsiTheme="minorHAnsi" w:cstheme="minorHAnsi"/>
                <w:bCs/>
              </w:rPr>
              <w:t>e</w:t>
            </w:r>
            <w:r w:rsidRPr="001808E8">
              <w:rPr>
                <w:rFonts w:asciiTheme="minorHAnsi" w:hAnsiTheme="minorHAnsi" w:cstheme="minorHAnsi"/>
                <w:bCs/>
              </w:rPr>
              <w:t xml:space="preserve"> the need for surveillance programs and control measures</w:t>
            </w:r>
            <w:r w:rsidR="0043388C">
              <w:rPr>
                <w:rFonts w:asciiTheme="minorHAnsi" w:hAnsiTheme="minorHAnsi" w:cstheme="minorHAnsi"/>
                <w:bCs/>
              </w:rPr>
              <w:t xml:space="preserve"> in North Argentina and t</w:t>
            </w:r>
            <w:r w:rsidRPr="001808E8">
              <w:rPr>
                <w:rFonts w:asciiTheme="minorHAnsi" w:hAnsiTheme="minorHAnsi" w:cstheme="minorHAnsi"/>
                <w:bCs/>
              </w:rPr>
              <w:t xml:space="preserve">o our knowledge, constitutes the first report of horses seropositive for </w:t>
            </w:r>
            <w:r w:rsidR="00401307">
              <w:rPr>
                <w:rFonts w:asciiTheme="minorHAnsi" w:hAnsiTheme="minorHAnsi" w:cstheme="minorHAnsi"/>
                <w:bCs/>
              </w:rPr>
              <w:t>ET</w:t>
            </w:r>
            <w:r w:rsidRPr="001808E8">
              <w:rPr>
                <w:rFonts w:asciiTheme="minorHAnsi" w:hAnsiTheme="minorHAnsi" w:cstheme="minorHAnsi"/>
                <w:bCs/>
              </w:rPr>
              <w:t xml:space="preserve">, </w:t>
            </w:r>
            <w:r w:rsidR="00401307">
              <w:rPr>
                <w:rFonts w:asciiTheme="minorHAnsi" w:hAnsiTheme="minorHAnsi" w:cstheme="minorHAnsi"/>
                <w:bCs/>
              </w:rPr>
              <w:t>EP</w:t>
            </w:r>
            <w:r w:rsidR="00671AAA">
              <w:rPr>
                <w:rFonts w:asciiTheme="minorHAnsi" w:hAnsiTheme="minorHAnsi" w:cstheme="minorHAnsi"/>
                <w:bCs/>
              </w:rPr>
              <w:t>,</w:t>
            </w:r>
            <w:r w:rsidR="00671AAA" w:rsidRPr="001808E8">
              <w:rPr>
                <w:rFonts w:asciiTheme="minorHAnsi" w:hAnsiTheme="minorHAnsi" w:cstheme="minorHAnsi"/>
                <w:bCs/>
              </w:rPr>
              <w:t xml:space="preserve"> </w:t>
            </w:r>
            <w:r w:rsidRPr="001808E8">
              <w:rPr>
                <w:rFonts w:asciiTheme="minorHAnsi" w:hAnsiTheme="minorHAnsi" w:cstheme="minorHAnsi"/>
                <w:bCs/>
              </w:rPr>
              <w:t>EIA</w:t>
            </w:r>
            <w:r w:rsidR="00671AAA">
              <w:rPr>
                <w:rFonts w:asciiTheme="minorHAnsi" w:hAnsiTheme="minorHAnsi" w:cstheme="minorHAnsi"/>
                <w:bCs/>
              </w:rPr>
              <w:t>V and</w:t>
            </w:r>
            <w:r w:rsidR="0043388C">
              <w:rPr>
                <w:rFonts w:asciiTheme="minorHAnsi" w:hAnsiTheme="minorHAnsi" w:cstheme="minorHAnsi"/>
                <w:bCs/>
              </w:rPr>
              <w:t xml:space="preserve"> WNV</w:t>
            </w:r>
            <w:r w:rsidRPr="001808E8">
              <w:rPr>
                <w:rFonts w:asciiTheme="minorHAnsi" w:hAnsiTheme="minorHAnsi" w:cstheme="minorHAnsi"/>
                <w:bCs/>
              </w:rPr>
              <w:t>.</w:t>
            </w:r>
          </w:p>
          <w:p w14:paraId="704D66FC" w14:textId="77777777" w:rsidR="000F683D" w:rsidRDefault="000F683D">
            <w:pPr>
              <w:rPr>
                <w:sz w:val="28"/>
                <w:szCs w:val="28"/>
              </w:rPr>
            </w:pPr>
          </w:p>
        </w:tc>
      </w:tr>
    </w:tbl>
    <w:p w14:paraId="70ADE3C6" w14:textId="77777777" w:rsidR="000F683D" w:rsidRDefault="000F683D" w:rsidP="00FA34FC">
      <w:pPr>
        <w:rPr>
          <w:sz w:val="28"/>
          <w:szCs w:val="28"/>
        </w:rPr>
      </w:pPr>
    </w:p>
    <w:sectPr w:rsidR="000F683D" w:rsidSect="00FA34FC">
      <w:headerReference w:type="default" r:id="rId7"/>
      <w:pgSz w:w="11906" w:h="16838"/>
      <w:pgMar w:top="184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F0AD3" w14:textId="77777777" w:rsidR="00203AA7" w:rsidRDefault="00203AA7">
      <w:r>
        <w:separator/>
      </w:r>
    </w:p>
  </w:endnote>
  <w:endnote w:type="continuationSeparator" w:id="0">
    <w:p w14:paraId="6C08C2EE" w14:textId="77777777" w:rsidR="00203AA7" w:rsidRDefault="0020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ＭＳ 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19761" w14:textId="77777777" w:rsidR="00203AA7" w:rsidRDefault="00203AA7">
      <w:r>
        <w:separator/>
      </w:r>
    </w:p>
  </w:footnote>
  <w:footnote w:type="continuationSeparator" w:id="0">
    <w:p w14:paraId="7BA4C5CE" w14:textId="77777777" w:rsidR="00203AA7" w:rsidRDefault="00203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DC84" w14:textId="77777777" w:rsidR="00004529" w:rsidRDefault="00004529">
    <w:pPr>
      <w:pStyle w:val="En-tte"/>
    </w:pPr>
    <w:r w:rsidRPr="00B92F06">
      <w:rPr>
        <w:noProof/>
        <w:lang w:val="fr-FR" w:eastAsia="fr-FR"/>
      </w:rPr>
      <w:drawing>
        <wp:anchor distT="0" distB="0" distL="114300" distR="114300" simplePos="0" relativeHeight="251658752" behindDoc="0" locked="0" layoutInCell="1" allowOverlap="1" wp14:anchorId="135E47A5" wp14:editId="71DCDA21">
          <wp:simplePos x="0" y="0"/>
          <wp:positionH relativeFrom="margin">
            <wp:posOffset>-749300</wp:posOffset>
          </wp:positionH>
          <wp:positionV relativeFrom="paragraph">
            <wp:posOffset>-455892</wp:posOffset>
          </wp:positionV>
          <wp:extent cx="7653600" cy="1123200"/>
          <wp:effectExtent l="0" t="0" r="5080" b="0"/>
          <wp:wrapNone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002D4"/>
    <w:multiLevelType w:val="hybridMultilevel"/>
    <w:tmpl w:val="6524A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42"/>
    <w:rsid w:val="00004529"/>
    <w:rsid w:val="00010A6A"/>
    <w:rsid w:val="000865D5"/>
    <w:rsid w:val="000F683D"/>
    <w:rsid w:val="001808E8"/>
    <w:rsid w:val="00197B0A"/>
    <w:rsid w:val="001A5536"/>
    <w:rsid w:val="00203AA7"/>
    <w:rsid w:val="00256F0D"/>
    <w:rsid w:val="002E6042"/>
    <w:rsid w:val="003C3323"/>
    <w:rsid w:val="00401307"/>
    <w:rsid w:val="0043388C"/>
    <w:rsid w:val="004E781C"/>
    <w:rsid w:val="00571A28"/>
    <w:rsid w:val="00571CA2"/>
    <w:rsid w:val="00671AAA"/>
    <w:rsid w:val="00704C0B"/>
    <w:rsid w:val="00733A5A"/>
    <w:rsid w:val="00761BE6"/>
    <w:rsid w:val="007F426E"/>
    <w:rsid w:val="008A4AC3"/>
    <w:rsid w:val="00A419B3"/>
    <w:rsid w:val="00A6155B"/>
    <w:rsid w:val="00AA6093"/>
    <w:rsid w:val="00CA43DB"/>
    <w:rsid w:val="00D47E4A"/>
    <w:rsid w:val="00D81433"/>
    <w:rsid w:val="00E440F0"/>
    <w:rsid w:val="00FA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3C8B059"/>
  <w15:docId w15:val="{3B0B0FCB-35DB-49EC-AFA9-73110B12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3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683D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0F68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F683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F683D"/>
  </w:style>
  <w:style w:type="table" w:styleId="Grilledutableau">
    <w:name w:val="Table Grid"/>
    <w:basedOn w:val="TableauNormal"/>
    <w:uiPriority w:val="59"/>
    <w:rsid w:val="000F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683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45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452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452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45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452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529"/>
    <w:rPr>
      <w:rFonts w:ascii="ヒラギノ角ゴ ProN W3" w:eastAsia="ヒラギノ角ゴ ProN W3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529"/>
    <w:rPr>
      <w:rFonts w:ascii="ヒラギノ角ゴ ProN W3" w:eastAsia="ヒラギノ角ゴ ProN W3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0452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04529"/>
    <w:pPr>
      <w:ind w:leftChars="400" w:left="960"/>
    </w:pPr>
  </w:style>
  <w:style w:type="paragraph" w:styleId="Corpsdetexte">
    <w:name w:val="Body Text"/>
    <w:basedOn w:val="Normal"/>
    <w:link w:val="CorpsdetexteCar"/>
    <w:uiPriority w:val="1"/>
    <w:qFormat/>
    <w:rsid w:val="00E440F0"/>
    <w:pPr>
      <w:widowControl w:val="0"/>
      <w:ind w:left="1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E440F0"/>
    <w:rPr>
      <w:rFonts w:ascii="Times New Roman" w:eastAsia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A34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3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1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Narantsatsral</dc:creator>
  <cp:keywords/>
  <dc:description/>
  <cp:lastModifiedBy>HEBERT Laurent</cp:lastModifiedBy>
  <cp:revision>4</cp:revision>
  <cp:lastPrinted>2019-06-03T15:33:00Z</cp:lastPrinted>
  <dcterms:created xsi:type="dcterms:W3CDTF">2019-06-04T08:03:00Z</dcterms:created>
  <dcterms:modified xsi:type="dcterms:W3CDTF">2019-06-04T08:16:00Z</dcterms:modified>
</cp:coreProperties>
</file>